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92"/>
        <w:gridCol w:w="910"/>
        <w:gridCol w:w="1021"/>
        <w:gridCol w:w="70"/>
        <w:gridCol w:w="673"/>
        <w:gridCol w:w="1203"/>
        <w:gridCol w:w="356"/>
        <w:gridCol w:w="1273"/>
        <w:gridCol w:w="249"/>
        <w:gridCol w:w="1170"/>
        <w:gridCol w:w="683"/>
        <w:gridCol w:w="26"/>
        <w:gridCol w:w="567"/>
        <w:gridCol w:w="1315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Medycyna ratunkowa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III, IV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1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20/III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20/IV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20/III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20/IV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5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6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Znajomość anatomii i biologii na poziomie maturalnym.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6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lang w:val="pl-PL" w:eastAsia="pl-PL" w:bidi="ar-SA"/>
              </w:rPr>
              <w:t>P</w:t>
            </w:r>
            <w:r>
              <w:rPr>
                <w:b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oszerzenie wiedzy i umiejętności studentów w zakresie postępowania z chorymi w stanach nagłego zagrożenia zdrowotnego. Nabycie umiejętności szybkiego rozpoznawania i oceny zagrożeń stanu zdrowia pacjenta z wykorzystaniem odpowiednich metod diagnostycznych i leczniczych. Doskonalenie zaawansowanych czynności ratunkowych (wskazania i wykonanie praktyczne).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6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6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fantomy..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8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C.W16. zasady postępowania ratunkowego w przypadku pacjenta w stanie terminalnym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Egzamin pisemny, test,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kolokwium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C.W17. mechanizmy prowadzące do nagłych zagrożeń zdrowia i życia;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C.W18. mechanizmy działania podstawowych grup leków i leków podawanych samodzielnie przez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C.W20. skale oceny bólu i możliwości wdrożenia leczenia przeciwbólowego przez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C.W24. zasady badania podmiotowego w zakresie niezbędnym do prowadzenia medycznych czynności ratunkowych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C.W25. zasady badania fizykalnego w zakresie niezbędnym do prowadzenia medycznych czynności ratunkowych i udzielania świadczeń zdrowotnych innych niż medyczne czynności ratunkowe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C.W26. przyczyny i rodzaje bólu w klatce piersiowej oraz jego diagnostykę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C.W27. problematykę ostrego zespołu wieńcowego, zawału serca, nadciśnienia tętniczego, rozwarstwienia aorty, niewydolności krążenia, ostrego niedokrwienia kończyny, obrzęku płuc i zatorowości płucnej;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C.W28. problematykę ostrej niewydolności oddechowej;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C.W29. 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C.W50. techniki zabiegów medycznych wykonywanych samodzielnie przez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C.W53. 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C.W54. wskazania do układania pacjenta w pozycji właściwej dla jego stanu lub odniesionych obrażeń;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C.W55. przyczyny i objawy nagłego zatrzymania krążenia;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C.W56. zasady prowadzenia podstawowej i zaawansowanej resuscytacji krążeniowo- -oddechowej u osób dorosłych i dzieci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C.W57. wskazania do odsysania dróg oddechowych i techniki jego wykonywania;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C.W58.wskazania do przyrządowego i bezprzyrządowego przywracania drożności dróg oddechowych i techniki ich wykonywania;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C.W59. 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C.W60. 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C.W61. wskazania do wykonania defibrylacji manualnej, zautomatyzowanej i półautomatycznej oraz techniki ich wykonania;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C.W62. wskazania do wykonania kaniulacji żył obwodowych kończyn górnych i dolnych oraz żyły szyjnej zewnętrznej, a także technikę jej wykonania;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C.W63. zasady monitorowania czynności układu oddechowego i układu krążenia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C.W64. zasady wykonywania dostępu doszpikowego przy użyciu gotowego zestawu;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C.W65. wskazania do podawania leków drogą dożylną, w tym przez porty naczyniowe, domięśniową, podskórną, dotchawiczą, doustną, doodbytniczą, wziewną i doszpikową oraz techniki tego podawania;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C.W70. objawy i rodzaje odmy opłucnowej;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C.W73. 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C.W74. zasady podejmowania działań zabezpieczających w celu ograniczenia skutków zdrowotnych zdarzenia;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C.W75. zasady segregacji medycznej przedszpitalnej pierwotnej i wtórnej oraz segregacji szpitalnej;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C.W76. techniki przygotowania pacjenta do transportu i opieki medycznej podczas transportu;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C.U1. oceniać stan pacjenta w celu ustalenia sposobu postępowania ratunkowego;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C.U2. układać pacjenta do badania obrazowego;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C.U7. przeprowadzać wywiad medyczny z pacjentem dorosłym w zakresie niezbędnym do podjęcia medycznych czynności ratunkowych;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C.U9. 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układać pacjenta w pozycji właściwej dla rodzaju choroby lub odniesionych obrażeń ciała;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C.U11. 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monitorować czynność układu oddechowego, z uwzględnieniem pulsoksymetrii, kapnometrii i kapnografii;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C.U14. monitorować czynność układu krążenia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C.U15. oceniać i opisywać stan somatyczny i psychiczny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C.U16. przeprowadzać analizę ewentualnych działań niepożądanych poszczególnych leków oraz interakcji między nimi;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C.U17. oceniać stan neurologiczny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C.U18. monitorować stan pacjenta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C.U19. prowadzić dokumentację medyczną w zakresie wykonywanych czynności, w tym w przypadku zgonu pacjenta, urodzenia dziecka martwego i odstąpienia od medycznych czynności ratunkowych;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C.U20. podawać pacjentowi leki i płyny;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BodyTextIndent"/>
              <w:widowControl w:val="false"/>
              <w:tabs>
                <w:tab w:val="clear" w:pos="708"/>
                <w:tab w:val="left" w:pos="720" w:leader="none"/>
              </w:tabs>
              <w:spacing w:before="0" w:after="120"/>
              <w:ind w:hanging="0"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C.U21. oznaczać stężenie glukozy z użyciem glukometru;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C.U22. zakładać zgłębnik dożołądkowy;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67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C.U23. zakładać cewnik do pęcherza moczowego;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3600" w:leader="none"/>
              </w:tabs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C.U24. asystować przy czynnościach przygotowawczych do transplantacji narządów;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C.U26.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przygotowywać pacjenta do transportu;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C.U28. monitorować stan pacjenta podczas czynności medycznych i transportowych;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C.U29. stosować leczenie przeciwbólowe;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C.U30. oceniać stopień nasilenia bólu według znanych skal;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C.U31. rozpoznawać stan zagrożenia życia u pacjenta po przeszczepie narządu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C.U32. monitorować czynności życiowe pacjenta podczas badania diagnostycznego;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C.U39. przywracać drożność dróg oddechowych metodami bezprzyrządowymi;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C.U40. przyrządowo udrażniać drogi oddechowe metodami nadgłośniowymi;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C.U41. wykonywać intubację dotchawiczą w laryngoskopii bezpośredniej i pośredniej;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C.U42. wykonywać konikopunkcję;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C.U43. wdrażać tlenoterapię zależnie od potrzeb pacjenta i wspomagać oddech;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C.U46. wykonywać defibrylację elektryczną z użyciem defibrylatora manualnego i zautomatyzowanego;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C.U47. wykonywać kardiowersję i elektrostymulację zewnętrzną serca;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C.U66. dostosowywać postępowanie ratunkowe do stanu pacjenta;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895" w:hRule="atLeast"/>
        </w:trPr>
        <w:tc>
          <w:tcPr>
            <w:tcW w:w="2662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98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895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K.2. dostrzegania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2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2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auto"/>
                <w:kern w:val="2"/>
                <w:sz w:val="20"/>
                <w:szCs w:val="20"/>
                <w:highlight w:val="none"/>
                <w:shd w:fill="auto" w:val="clear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auto"/>
                <w:kern w:val="2"/>
                <w:sz w:val="20"/>
                <w:szCs w:val="20"/>
                <w:shd w:fill="auto" w:val="clear"/>
                <w:lang w:eastAsia="zh-CN"/>
              </w:rPr>
              <w:t>K.5.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29" w:hRule="atLeast"/>
        </w:trPr>
        <w:tc>
          <w:tcPr>
            <w:tcW w:w="2662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8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2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6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Postępowanie we wstrząsie anafilaktycznym, reakcji anafilaktycznej, zapaleniu mięśnia sercowego, tamponadzie osierdzia, toksycznym obrzęku płuc z ARDS w warunkach opieki przedszpitalnej oraz oddziału Ratunkowego.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w hipowolemii, zaburzeniach elektrolitowych, krwawieniu z przewodu pokarmowego, OZW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w niewydolności oddechowej wywołanej ostrym napadem astmy oskrzelowej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w zatruciu cyjankami, insuliną. Postępowanie w rzucawce u kobiet ciężarnych.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w obrzęku płuc pochodzenia kardiogennego.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w zaburzeniach rytmu serca w przebiegu migotania przedsionków, WPW, AVNRT. Postępowanie w zaburzeniach elektrolitowych hiperkaliemia.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 z pacjentem w przebiegu zespołu Brugadów, zatrucia beta-blokerami.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we wstrząsie kardiogennym wywołanym OZW. Postępowanie we wstrząsie septycznym, zatruciu salicylanami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 zatruciu środkami odurzającymi.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Postępowanie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 zakażeniach centralnego systemu nerwowego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Postępowanie w urazach kręgosłupa, klatki piersiowej.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Sposób postępowania z pacjentem po urazie izolowanym i MOC.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Pojęcie wstrząsu urazowego.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Algorytm postępowania w OZW wg wytycznych ERC.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Sposób prowadzenia dokumentacji na miejscu zdarzenia.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Symptomatologia stanów nagłych pochodzenia wewnętrznego.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Wykonywanie prawidłowo kolejne etapy algorytmu BTLS, BLS, ALS.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Stosowanie dostępnego sprzętu w celu zabezpieczenia pacjenta po urazie.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z pacjentem z MOC (diagnostyka, leczenie).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Stabilizacja złamań kości długich.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Zabezpieczenie pacjenta po urazie do transportu medycznego.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Organizacja działań ratowniczych w zdarzeniach masowych i katastrofach.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Pojęcie katastrofy, zdarzenia masowego.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Algorytm postępowania w TRIAGE.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Sposób postępowania w warunkach przedszpitalnych i szpitalnych w katastrofach i zdarzeniach masowych.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Prawidłowe wykonywanie etapów TRIAGE.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Stosowanie dostępu sprzętu w celu zabezpieczenia pacjenta po zdarzeniu masowym i katastrofie.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Praktyczne postępowanie z pacjentem w warunkach katastrofy.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Przygotowanie SOR do pracy w warunkach katastrofy.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Planowanie postępowania w przypadkach imprezy masowej.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Wytyczne 2025 Polskiej i Europejskiej Rady Resuscytacji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Rozporządzenie Ministra Spraw Wewnętrznych i Administracji z dnia 18 lutego 2011 r. w sprawie szczegółowych zasad organizacji krajowego systemu ratowniczo-gaśniczego (Dz.U. 2011 nr 46 poz. 239).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0" w:left="7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Ustawa z dnia 15 kwietnia 2011 r. o działalności leczniczej (Dz.U. 2011 nr 112 poz. 654).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Ustawa z dnia 26 kwietnia 2007 r. o zarządzaniu kryzysowym (Dz.U. 2007 nr 89 poz. 590).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Ustawa z dnia 8 września 2006 r. o Państwowym Ratownictwie Medycznym (Dz.U. 2006 nr 191 poz. 1410).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Szarpak Ł. Organizacja ratownictwa medycznego w Polsce. Wyd. Promotor 2012.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Atkinson P i wsp.: Medycyna ratunkowa. Urban&amp;Partner Wrocław 2012.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Application>LibreOffice/25.8.5.2$Windows_X86_64 LibreOffice_project/9c8b85f387cc00a89945a79c9e6239f32e450ac2</Application>
  <AppVersion>15.0000</AppVersion>
  <Pages>5</Pages>
  <Words>1847</Words>
  <Characters>13236</Characters>
  <CharactersWithSpaces>14832</CharactersWithSpaces>
  <Paragraphs>266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2026-04-22T17:23:07Z</dcterms:modified>
  <cp:revision>213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